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pos="5400"/>
          <w:tab w:val="left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December 8, 2022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rFonts w:ascii="Arial" w:cs="Arial" w:eastAsia="Arial" w:hAnsi="Arial"/>
          <w:b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Sponsorship team- sign up genius to be sent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1/12/23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2/9/23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3/9/23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4/13/23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5/11/23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6/8/23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Upcoming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ers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ab/>
        <w:t xml:space="preserve">Ongoing-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ab/>
        <w:t xml:space="preserve">May 2023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ab/>
        <w:t xml:space="preserve">Easter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ab/>
        <w:t xml:space="preserve">May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Super Bowl pool                        January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Youth Baseball camp                proposed dates 3/25, 4/8, 4/15, 4/22, 4/29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Youth skills camp                      Registration open. 75% filled.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shorturl.at/owADH to register.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Committees –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Volunteers needed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Beth Ravier to send out sign up genius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Banquet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Day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Mentor Day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Cornhole - Mike Yartymyk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Sponsorship - Team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to meet close to new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Hoagie Pick Up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Apparel store front - active soon- Ryan Hogan update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Hat and beanie orders- 2 new hat styles available. All orders have been submitted.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Strength and Conditioning shirts delivered to players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Team off season workouts November/December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Team off season workouts January/ February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7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January 12, 2023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8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oCBZajtatJAxIMEFabBsY/6pw==">AMUW2mVPRwijpS6KII9sYUll3LD4+wpTIMqjM8R5KhT3DfM2BGXl5TmamWXcAKSR0d4ITGoijUx0dOgfQ9PGN4BCyOSWG8EvvyHjOOhku4fnvChFQTn0fUs=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